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80136" w14:textId="77777777" w:rsidR="007875FE" w:rsidRPr="00217F33" w:rsidRDefault="00FC3ADE"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（別紙）</w:t>
      </w:r>
    </w:p>
    <w:p w14:paraId="7DA36827" w14:textId="77777777" w:rsidR="00DE52AC" w:rsidRPr="00217F33" w:rsidRDefault="00FC3ADE" w:rsidP="00D96513">
      <w:pPr>
        <w:snapToGrid w:val="0"/>
        <w:spacing w:line="216" w:lineRule="auto"/>
        <w:ind w:firstLineChars="100" w:firstLine="200"/>
        <w:jc w:val="center"/>
        <w:rPr>
          <w:rFonts w:ascii="Meiryo UI" w:eastAsia="Meiryo UI" w:hAnsi="Meiryo UI"/>
          <w:sz w:val="20"/>
          <w:szCs w:val="20"/>
        </w:rPr>
      </w:pPr>
      <w:r w:rsidRPr="00217F33">
        <w:rPr>
          <w:rFonts w:ascii="Meiryo UI" w:eastAsia="Meiryo UI" w:hAnsi="Meiryo UI" w:hint="eastAsia"/>
          <w:sz w:val="20"/>
          <w:szCs w:val="20"/>
        </w:rPr>
        <w:t>継続契約方式対象工事について</w:t>
      </w:r>
    </w:p>
    <w:p w14:paraId="00DFA3F9" w14:textId="77777777" w:rsidR="00D96513" w:rsidRPr="00217F33" w:rsidRDefault="00D96513" w:rsidP="00D96513">
      <w:pPr>
        <w:snapToGrid w:val="0"/>
        <w:spacing w:line="216" w:lineRule="auto"/>
        <w:ind w:firstLineChars="100" w:firstLine="200"/>
        <w:rPr>
          <w:rFonts w:ascii="Meiryo UI" w:eastAsia="Meiryo UI" w:hAnsi="Meiryo UI"/>
          <w:sz w:val="20"/>
          <w:szCs w:val="20"/>
        </w:rPr>
      </w:pPr>
    </w:p>
    <w:p w14:paraId="1EA2280E" w14:textId="0E3242AB" w:rsidR="00FC3ADE" w:rsidRPr="00217F33" w:rsidRDefault="00FC3ADE" w:rsidP="00D96513">
      <w:pPr>
        <w:snapToGrid w:val="0"/>
        <w:spacing w:line="216" w:lineRule="auto"/>
        <w:ind w:firstLineChars="100" w:firstLine="200"/>
        <w:rPr>
          <w:rFonts w:ascii="Meiryo UI" w:eastAsia="Meiryo UI" w:hAnsi="Meiryo UI"/>
          <w:sz w:val="20"/>
          <w:szCs w:val="20"/>
          <w:u w:val="single"/>
        </w:rPr>
      </w:pPr>
      <w:r w:rsidRPr="00217F33">
        <w:rPr>
          <w:rFonts w:ascii="Meiryo UI" w:eastAsia="Meiryo UI" w:hAnsi="Meiryo UI" w:hint="eastAsia"/>
          <w:sz w:val="20"/>
          <w:szCs w:val="20"/>
        </w:rPr>
        <w:t>工事名）</w:t>
      </w:r>
      <w:r w:rsidR="00DE52AC" w:rsidRPr="00217F33">
        <w:rPr>
          <w:rFonts w:ascii="Meiryo UI" w:eastAsia="Meiryo UI" w:hAnsi="Meiryo UI" w:hint="eastAsia"/>
          <w:sz w:val="20"/>
          <w:szCs w:val="20"/>
          <w:u w:val="single"/>
        </w:rPr>
        <w:t xml:space="preserve">　　</w:t>
      </w:r>
      <w:r w:rsidR="00E47027" w:rsidRPr="00222E32">
        <w:rPr>
          <w:rFonts w:ascii="Meiryo UI" w:eastAsia="Meiryo UI" w:hAnsi="Meiryo UI" w:hint="eastAsia"/>
          <w:sz w:val="20"/>
          <w:szCs w:val="20"/>
          <w:u w:val="single"/>
        </w:rPr>
        <w:t>東京湾アクアライン連絡道　神納高架橋耐震補強工事</w:t>
      </w:r>
      <w:r w:rsidR="005E4CDD">
        <w:rPr>
          <w:rFonts w:ascii="Meiryo UI" w:eastAsia="Meiryo UI" w:hAnsi="Meiryo UI" w:hint="eastAsia"/>
          <w:color w:val="0070C0"/>
          <w:sz w:val="20"/>
          <w:szCs w:val="20"/>
          <w:u w:val="single"/>
        </w:rPr>
        <w:t xml:space="preserve">　　　</w:t>
      </w:r>
      <w:r w:rsidR="00DE52AC" w:rsidRPr="00217F33">
        <w:rPr>
          <w:rFonts w:ascii="Meiryo UI" w:eastAsia="Meiryo UI" w:hAnsi="Meiryo UI" w:hint="eastAsia"/>
          <w:sz w:val="20"/>
          <w:szCs w:val="20"/>
          <w:u w:val="single"/>
        </w:rPr>
        <w:t xml:space="preserve">　　　　　　　　　　　　　　　　　　　　　　　　　</w:t>
      </w:r>
    </w:p>
    <w:p w14:paraId="4DE75516" w14:textId="77777777" w:rsidR="00FC3ADE" w:rsidRPr="00217F33" w:rsidRDefault="00FC3ADE" w:rsidP="00D96513">
      <w:pPr>
        <w:snapToGrid w:val="0"/>
        <w:spacing w:line="216" w:lineRule="auto"/>
        <w:ind w:firstLineChars="100" w:firstLine="200"/>
        <w:rPr>
          <w:rFonts w:ascii="Meiryo UI" w:eastAsia="Meiryo UI" w:hAnsi="Meiryo UI"/>
          <w:sz w:val="20"/>
          <w:szCs w:val="20"/>
        </w:rPr>
      </w:pPr>
    </w:p>
    <w:p w14:paraId="3EB81495" w14:textId="061D320E" w:rsidR="00124688" w:rsidRPr="00217F33" w:rsidRDefault="00FC3ADE"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本工事は、継続契約方式の対象工事であ</w:t>
      </w:r>
      <w:r w:rsidR="00124688" w:rsidRPr="00217F33">
        <w:rPr>
          <w:rFonts w:ascii="Meiryo UI" w:eastAsia="Meiryo UI" w:hAnsi="Meiryo UI" w:hint="eastAsia"/>
          <w:sz w:val="20"/>
          <w:szCs w:val="20"/>
        </w:rPr>
        <w:t>り、</w:t>
      </w:r>
      <w:r w:rsidR="00850776">
        <w:rPr>
          <w:rFonts w:ascii="Meiryo UI" w:eastAsia="Meiryo UI" w:hAnsi="Meiryo UI" w:hint="eastAsia"/>
          <w:sz w:val="20"/>
          <w:szCs w:val="20"/>
        </w:rPr>
        <w:t>以下</w:t>
      </w:r>
      <w:r w:rsidR="00124688" w:rsidRPr="00217F33">
        <w:rPr>
          <w:rFonts w:ascii="Meiryo UI" w:eastAsia="Meiryo UI" w:hAnsi="Meiryo UI" w:hint="eastAsia"/>
          <w:sz w:val="20"/>
          <w:szCs w:val="20"/>
        </w:rPr>
        <w:t>に示す後発工事</w:t>
      </w:r>
      <w:r w:rsidRPr="00217F33">
        <w:rPr>
          <w:rFonts w:ascii="Meiryo UI" w:eastAsia="Meiryo UI" w:hAnsi="Meiryo UI" w:hint="eastAsia"/>
          <w:sz w:val="20"/>
          <w:szCs w:val="20"/>
        </w:rPr>
        <w:t>について</w:t>
      </w:r>
      <w:r w:rsidR="00124688" w:rsidRPr="00217F33">
        <w:rPr>
          <w:rFonts w:ascii="Meiryo UI" w:eastAsia="Meiryo UI" w:hAnsi="Meiryo UI" w:hint="eastAsia"/>
          <w:sz w:val="20"/>
          <w:szCs w:val="20"/>
        </w:rPr>
        <w:t>、別途、</w:t>
      </w:r>
      <w:r w:rsidRPr="00217F33">
        <w:rPr>
          <w:rFonts w:ascii="Meiryo UI" w:eastAsia="Meiryo UI" w:hAnsi="Meiryo UI" w:hint="eastAsia"/>
          <w:sz w:val="20"/>
          <w:szCs w:val="20"/>
        </w:rPr>
        <w:t>本工事の受注者と</w:t>
      </w:r>
      <w:r w:rsidR="00124688" w:rsidRPr="00217F33">
        <w:rPr>
          <w:rFonts w:ascii="Meiryo UI" w:eastAsia="Meiryo UI" w:hAnsi="Meiryo UI" w:hint="eastAsia"/>
          <w:sz w:val="20"/>
          <w:szCs w:val="20"/>
        </w:rPr>
        <w:t>協議を行ったうえで、継続契約（</w:t>
      </w:r>
      <w:r w:rsidRPr="00217F33">
        <w:rPr>
          <w:rFonts w:ascii="Meiryo UI" w:eastAsia="Meiryo UI" w:hAnsi="Meiryo UI" w:hint="eastAsia"/>
          <w:sz w:val="20"/>
          <w:szCs w:val="20"/>
        </w:rPr>
        <w:t>随意契約</w:t>
      </w:r>
      <w:r w:rsidR="00124688" w:rsidRPr="00217F33">
        <w:rPr>
          <w:rFonts w:ascii="Meiryo UI" w:eastAsia="Meiryo UI" w:hAnsi="Meiryo UI" w:hint="eastAsia"/>
          <w:sz w:val="20"/>
          <w:szCs w:val="20"/>
        </w:rPr>
        <w:t>）</w:t>
      </w:r>
      <w:r w:rsidRPr="00217F33">
        <w:rPr>
          <w:rFonts w:ascii="Meiryo UI" w:eastAsia="Meiryo UI" w:hAnsi="Meiryo UI" w:hint="eastAsia"/>
          <w:sz w:val="20"/>
          <w:szCs w:val="20"/>
        </w:rPr>
        <w:t>を締結する</w:t>
      </w:r>
      <w:r w:rsidR="00D96513" w:rsidRPr="00217F33">
        <w:rPr>
          <w:rFonts w:ascii="Meiryo UI" w:eastAsia="Meiryo UI" w:hAnsi="Meiryo UI" w:hint="eastAsia"/>
          <w:sz w:val="20"/>
          <w:szCs w:val="20"/>
        </w:rPr>
        <w:t>対象工事</w:t>
      </w:r>
      <w:r w:rsidR="00124688" w:rsidRPr="00217F33">
        <w:rPr>
          <w:rFonts w:ascii="Meiryo UI" w:eastAsia="Meiryo UI" w:hAnsi="Meiryo UI" w:hint="eastAsia"/>
          <w:sz w:val="20"/>
          <w:szCs w:val="20"/>
        </w:rPr>
        <w:t>である。</w:t>
      </w:r>
    </w:p>
    <w:p w14:paraId="36FA635C" w14:textId="77777777" w:rsidR="00FC3ADE" w:rsidRPr="00217F33" w:rsidRDefault="00124688"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なお、</w:t>
      </w:r>
      <w:r w:rsidR="00FC3ADE" w:rsidRPr="00217F33">
        <w:rPr>
          <w:rFonts w:ascii="Meiryo UI" w:eastAsia="Meiryo UI" w:hAnsi="Meiryo UI" w:hint="eastAsia"/>
          <w:sz w:val="20"/>
          <w:szCs w:val="20"/>
        </w:rPr>
        <w:t>後発工事の契約図書は、後発工事に係る契約手続きを行う際に交付する。</w:t>
      </w:r>
    </w:p>
    <w:p w14:paraId="3EC281FC" w14:textId="29160639" w:rsidR="00FC3ADE" w:rsidRPr="00217F33" w:rsidRDefault="00FC3ADE" w:rsidP="00850776">
      <w:pPr>
        <w:snapToGrid w:val="0"/>
        <w:spacing w:line="216" w:lineRule="auto"/>
        <w:rPr>
          <w:rFonts w:ascii="Meiryo UI" w:eastAsia="Meiryo UI" w:hAnsi="Meiryo UI"/>
          <w:sz w:val="20"/>
          <w:szCs w:val="20"/>
        </w:rPr>
      </w:pPr>
    </w:p>
    <w:p w14:paraId="470177EA" w14:textId="77777777" w:rsidR="00FC3ADE" w:rsidRPr="00217F33" w:rsidRDefault="00FC3ADE" w:rsidP="00D96513">
      <w:pPr>
        <w:snapToGrid w:val="0"/>
        <w:spacing w:line="216" w:lineRule="auto"/>
        <w:rPr>
          <w:rFonts w:ascii="Meiryo UI" w:eastAsia="Meiryo UI" w:hAnsi="Meiryo UI"/>
          <w:b/>
          <w:sz w:val="20"/>
          <w:szCs w:val="20"/>
        </w:rPr>
      </w:pPr>
      <w:r w:rsidRPr="00217F33">
        <w:rPr>
          <w:rFonts w:ascii="Meiryo UI" w:eastAsia="Meiryo UI" w:hAnsi="Meiryo UI" w:hint="eastAsia"/>
          <w:b/>
          <w:sz w:val="20"/>
          <w:szCs w:val="20"/>
        </w:rPr>
        <w:t>１．継続契約方式における後発工事</w:t>
      </w:r>
    </w:p>
    <w:p w14:paraId="1E621DE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本工事の入札公告日</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p w14:paraId="7794A0D7"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(1) 後発工事その１</w:t>
      </w:r>
    </w:p>
    <w:tbl>
      <w:tblPr>
        <w:tblStyle w:val="a3"/>
        <w:tblW w:w="9634" w:type="dxa"/>
        <w:tblLook w:val="04A0" w:firstRow="1" w:lastRow="0" w:firstColumn="1" w:lastColumn="0" w:noHBand="0" w:noVBand="1"/>
      </w:tblPr>
      <w:tblGrid>
        <w:gridCol w:w="2405"/>
        <w:gridCol w:w="7229"/>
      </w:tblGrid>
      <w:tr w:rsidR="00FC3ADE" w:rsidRPr="00217F33" w14:paraId="6A30668E" w14:textId="77777777" w:rsidTr="00384A29">
        <w:tc>
          <w:tcPr>
            <w:tcW w:w="2405" w:type="dxa"/>
          </w:tcPr>
          <w:p w14:paraId="1BEB4B59"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工事件名（仮称）</w:t>
            </w:r>
          </w:p>
        </w:tc>
        <w:tc>
          <w:tcPr>
            <w:tcW w:w="7229" w:type="dxa"/>
          </w:tcPr>
          <w:p w14:paraId="2CB656E5" w14:textId="6DAD7842" w:rsidR="00FC3ADE" w:rsidRPr="007E1F41" w:rsidRDefault="00927D81" w:rsidP="00D96513">
            <w:pPr>
              <w:snapToGrid w:val="0"/>
              <w:spacing w:line="216" w:lineRule="auto"/>
              <w:rPr>
                <w:rFonts w:ascii="Meiryo UI" w:eastAsia="Meiryo UI" w:hAnsi="Meiryo UI"/>
                <w:sz w:val="20"/>
                <w:szCs w:val="20"/>
                <w:lang w:eastAsia="zh-TW"/>
              </w:rPr>
            </w:pPr>
            <w:r w:rsidRPr="007E1F41">
              <w:rPr>
                <w:rFonts w:ascii="Meiryo UI" w:eastAsia="Meiryo UI" w:hAnsi="Meiryo UI" w:hint="eastAsia"/>
                <w:sz w:val="20"/>
                <w:szCs w:val="20"/>
                <w:lang w:eastAsia="zh-TW"/>
              </w:rPr>
              <w:t>富津館山道路　大帷子高架橋耐震補強工事</w:t>
            </w:r>
          </w:p>
        </w:tc>
      </w:tr>
      <w:tr w:rsidR="00FC3ADE" w:rsidRPr="00217F33" w14:paraId="3FEF3211" w14:textId="77777777" w:rsidTr="00384A29">
        <w:tc>
          <w:tcPr>
            <w:tcW w:w="2405" w:type="dxa"/>
          </w:tcPr>
          <w:p w14:paraId="5DDB4DD8"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工事場所</w:t>
            </w:r>
          </w:p>
        </w:tc>
        <w:tc>
          <w:tcPr>
            <w:tcW w:w="7229" w:type="dxa"/>
          </w:tcPr>
          <w:p w14:paraId="414645C3" w14:textId="2A4C735B" w:rsidR="00FC3ADE" w:rsidRPr="007E1F41" w:rsidRDefault="00927D81" w:rsidP="00D96513">
            <w:pPr>
              <w:snapToGrid w:val="0"/>
              <w:spacing w:line="216" w:lineRule="auto"/>
              <w:rPr>
                <w:rFonts w:ascii="Meiryo UI" w:eastAsia="Meiryo UI" w:hAnsi="Meiryo UI"/>
                <w:sz w:val="20"/>
                <w:szCs w:val="20"/>
              </w:rPr>
            </w:pPr>
            <w:r w:rsidRPr="007E1F41">
              <w:rPr>
                <w:rFonts w:ascii="Meiryo UI" w:eastAsia="Meiryo UI" w:hAnsi="Meiryo UI" w:hint="eastAsia"/>
                <w:sz w:val="20"/>
                <w:szCs w:val="20"/>
              </w:rPr>
              <w:t>千葉県安房郡鋸南町</w:t>
            </w:r>
          </w:p>
        </w:tc>
      </w:tr>
      <w:tr w:rsidR="00FC3ADE" w:rsidRPr="00217F33" w14:paraId="735F04ED" w14:textId="77777777" w:rsidTr="00384A29">
        <w:tc>
          <w:tcPr>
            <w:tcW w:w="2405" w:type="dxa"/>
          </w:tcPr>
          <w:p w14:paraId="5660830D"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工事内容</w:t>
            </w:r>
          </w:p>
        </w:tc>
        <w:tc>
          <w:tcPr>
            <w:tcW w:w="7229" w:type="dxa"/>
          </w:tcPr>
          <w:p w14:paraId="4F90717F" w14:textId="2AF30518" w:rsidR="00FC3ADE" w:rsidRPr="007E1F41" w:rsidRDefault="00FC3ADE" w:rsidP="00D96513">
            <w:pPr>
              <w:snapToGrid w:val="0"/>
              <w:spacing w:line="216" w:lineRule="auto"/>
              <w:rPr>
                <w:rFonts w:ascii="Meiryo UI" w:eastAsia="Meiryo UI" w:hAnsi="Meiryo UI"/>
                <w:sz w:val="20"/>
                <w:szCs w:val="20"/>
              </w:rPr>
            </w:pPr>
            <w:r w:rsidRPr="007E1F41">
              <w:rPr>
                <w:rFonts w:ascii="Meiryo UI" w:eastAsia="Meiryo UI" w:hAnsi="Meiryo UI" w:hint="eastAsia"/>
                <w:sz w:val="20"/>
                <w:szCs w:val="20"/>
              </w:rPr>
              <w:t>本工事は、</w:t>
            </w:r>
            <w:r w:rsidR="1EAED06C" w:rsidRPr="007E1F41">
              <w:rPr>
                <w:rFonts w:ascii="Meiryo UI" w:eastAsia="Meiryo UI" w:hAnsi="Meiryo UI"/>
                <w:sz w:val="20"/>
                <w:szCs w:val="20"/>
              </w:rPr>
              <w:t>大帷子高架橋</w:t>
            </w:r>
            <w:r w:rsidR="008926BA">
              <w:rPr>
                <w:rFonts w:ascii="Meiryo UI" w:eastAsia="Meiryo UI" w:hAnsi="Meiryo UI" w:hint="eastAsia"/>
                <w:sz w:val="20"/>
                <w:szCs w:val="20"/>
              </w:rPr>
              <w:t>（上り線）</w:t>
            </w:r>
            <w:r w:rsidR="1EAED06C" w:rsidRPr="007E1F41">
              <w:rPr>
                <w:rFonts w:ascii="Meiryo UI" w:eastAsia="Meiryo UI" w:hAnsi="Meiryo UI"/>
                <w:sz w:val="20"/>
                <w:szCs w:val="20"/>
              </w:rPr>
              <w:t>他</w:t>
            </w:r>
            <w:r w:rsidR="008926BA">
              <w:rPr>
                <w:rFonts w:ascii="Meiryo UI" w:eastAsia="Meiryo UI" w:hAnsi="Meiryo UI" w:hint="eastAsia"/>
                <w:sz w:val="20"/>
                <w:szCs w:val="20"/>
              </w:rPr>
              <w:t>６</w:t>
            </w:r>
            <w:r w:rsidR="1EAED06C" w:rsidRPr="007E1F41">
              <w:rPr>
                <w:rFonts w:ascii="Meiryo UI" w:eastAsia="Meiryo UI" w:hAnsi="Meiryo UI"/>
                <w:sz w:val="20"/>
                <w:szCs w:val="20"/>
              </w:rPr>
              <w:t>橋</w:t>
            </w:r>
            <w:r w:rsidRPr="007E1F41">
              <w:rPr>
                <w:rFonts w:ascii="Meiryo UI" w:eastAsia="Meiryo UI" w:hAnsi="Meiryo UI"/>
                <w:sz w:val="20"/>
                <w:szCs w:val="20"/>
              </w:rPr>
              <w:t>の</w:t>
            </w:r>
            <w:r w:rsidR="7932D235" w:rsidRPr="007E1F41">
              <w:rPr>
                <w:rFonts w:ascii="Meiryo UI" w:eastAsia="Meiryo UI" w:hAnsi="Meiryo UI"/>
                <w:sz w:val="20"/>
                <w:szCs w:val="20"/>
              </w:rPr>
              <w:t>耐震補強</w:t>
            </w:r>
            <w:r w:rsidR="005E4CDD" w:rsidRPr="007E1F41">
              <w:rPr>
                <w:rFonts w:ascii="Meiryo UI" w:eastAsia="Meiryo UI" w:hAnsi="Meiryo UI" w:hint="eastAsia"/>
                <w:sz w:val="20"/>
                <w:szCs w:val="20"/>
              </w:rPr>
              <w:t>を行う工事で</w:t>
            </w:r>
            <w:r w:rsidRPr="007E1F41">
              <w:rPr>
                <w:rFonts w:ascii="Meiryo UI" w:eastAsia="Meiryo UI" w:hAnsi="Meiryo UI" w:hint="eastAsia"/>
                <w:sz w:val="20"/>
                <w:szCs w:val="20"/>
              </w:rPr>
              <w:t>ある。</w:t>
            </w:r>
          </w:p>
        </w:tc>
      </w:tr>
      <w:tr w:rsidR="00FC3ADE" w:rsidRPr="00217F33" w14:paraId="3823E1C4" w14:textId="77777777" w:rsidTr="00384A29">
        <w:tc>
          <w:tcPr>
            <w:tcW w:w="2405" w:type="dxa"/>
          </w:tcPr>
          <w:p w14:paraId="1F4CF89A"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工事概算数量</w:t>
            </w:r>
          </w:p>
        </w:tc>
        <w:tc>
          <w:tcPr>
            <w:tcW w:w="7229" w:type="dxa"/>
          </w:tcPr>
          <w:p w14:paraId="66E9F333" w14:textId="6E507523" w:rsidR="00FC3ADE" w:rsidRPr="007E1F41" w:rsidRDefault="00AB18D1" w:rsidP="00D96513">
            <w:pPr>
              <w:snapToGrid w:val="0"/>
              <w:spacing w:line="216" w:lineRule="auto"/>
              <w:rPr>
                <w:rFonts w:ascii="Meiryo UI" w:eastAsia="Meiryo UI" w:hAnsi="Meiryo UI"/>
                <w:sz w:val="20"/>
                <w:szCs w:val="20"/>
                <w:lang w:eastAsia="zh-TW"/>
              </w:rPr>
            </w:pPr>
            <w:r w:rsidRPr="007E1F41">
              <w:rPr>
                <w:rFonts w:ascii="Meiryo UI" w:eastAsia="Meiryo UI" w:hAnsi="Meiryo UI" w:hint="eastAsia"/>
                <w:sz w:val="20"/>
                <w:szCs w:val="20"/>
                <w:lang w:eastAsia="zh-TW"/>
              </w:rPr>
              <w:t>耐震補強　７橋（橋脚補強　約１５基、落橋防止構造　約２０箇所）</w:t>
            </w:r>
          </w:p>
        </w:tc>
      </w:tr>
      <w:tr w:rsidR="00FC3ADE" w:rsidRPr="00217F33" w14:paraId="57864349" w14:textId="77777777" w:rsidTr="00384A29">
        <w:tc>
          <w:tcPr>
            <w:tcW w:w="2405" w:type="dxa"/>
          </w:tcPr>
          <w:p w14:paraId="5398E7CE"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工期</w:t>
            </w:r>
          </w:p>
        </w:tc>
        <w:tc>
          <w:tcPr>
            <w:tcW w:w="7229" w:type="dxa"/>
          </w:tcPr>
          <w:p w14:paraId="2C01AE3E" w14:textId="458E2A14" w:rsidR="00FC3ADE" w:rsidRPr="007E1F41" w:rsidRDefault="00FC3ADE" w:rsidP="00D96513">
            <w:pPr>
              <w:snapToGrid w:val="0"/>
              <w:spacing w:line="216" w:lineRule="auto"/>
              <w:rPr>
                <w:rFonts w:ascii="Meiryo UI" w:eastAsia="Meiryo UI" w:hAnsi="Meiryo UI"/>
                <w:sz w:val="20"/>
                <w:szCs w:val="20"/>
                <w:lang w:eastAsia="zh-TW"/>
              </w:rPr>
            </w:pPr>
            <w:r w:rsidRPr="007E1F41">
              <w:rPr>
                <w:rFonts w:ascii="Meiryo UI" w:eastAsia="Meiryo UI" w:hAnsi="Meiryo UI" w:hint="eastAsia"/>
                <w:sz w:val="20"/>
                <w:szCs w:val="20"/>
                <w:lang w:eastAsia="zh-TW"/>
              </w:rPr>
              <w:t>令和</w:t>
            </w:r>
            <w:r w:rsidR="00C90FF3" w:rsidRPr="007E1F41">
              <w:rPr>
                <w:rFonts w:ascii="Meiryo UI" w:eastAsia="Meiryo UI" w:hAnsi="Meiryo UI" w:hint="eastAsia"/>
                <w:sz w:val="20"/>
                <w:szCs w:val="20"/>
                <w:lang w:eastAsia="zh-TW"/>
              </w:rPr>
              <w:t>9</w:t>
            </w:r>
            <w:r w:rsidRPr="007E1F41">
              <w:rPr>
                <w:rFonts w:ascii="Meiryo UI" w:eastAsia="Meiryo UI" w:hAnsi="Meiryo UI" w:hint="eastAsia"/>
                <w:sz w:val="20"/>
                <w:szCs w:val="20"/>
                <w:lang w:eastAsia="zh-TW"/>
              </w:rPr>
              <w:t>年度</w:t>
            </w:r>
            <w:r w:rsidR="00C90FF3" w:rsidRPr="007E1F41">
              <w:rPr>
                <w:rFonts w:ascii="Meiryo UI" w:eastAsia="Meiryo UI" w:hAnsi="Meiryo UI" w:hint="eastAsia"/>
                <w:sz w:val="20"/>
                <w:szCs w:val="20"/>
                <w:lang w:eastAsia="zh-TW"/>
              </w:rPr>
              <w:t>1</w:t>
            </w:r>
            <w:r w:rsidRPr="007E1F41">
              <w:rPr>
                <w:rFonts w:ascii="Meiryo UI" w:eastAsia="Meiryo UI" w:hAnsi="Meiryo UI" w:hint="eastAsia"/>
                <w:sz w:val="20"/>
                <w:szCs w:val="20"/>
                <w:lang w:eastAsia="zh-TW"/>
              </w:rPr>
              <w:t>／四半期～令和</w:t>
            </w:r>
            <w:r w:rsidR="00C90FF3" w:rsidRPr="007E1F41">
              <w:rPr>
                <w:rFonts w:ascii="Meiryo UI" w:eastAsia="Meiryo UI" w:hAnsi="Meiryo UI" w:hint="eastAsia"/>
                <w:sz w:val="20"/>
                <w:szCs w:val="20"/>
                <w:lang w:eastAsia="zh-TW"/>
              </w:rPr>
              <w:t>１２</w:t>
            </w:r>
            <w:r w:rsidRPr="007E1F41">
              <w:rPr>
                <w:rFonts w:ascii="Meiryo UI" w:eastAsia="Meiryo UI" w:hAnsi="Meiryo UI" w:hint="eastAsia"/>
                <w:sz w:val="20"/>
                <w:szCs w:val="20"/>
                <w:lang w:eastAsia="zh-TW"/>
              </w:rPr>
              <w:t>年度</w:t>
            </w:r>
            <w:r w:rsidR="00C90FF3" w:rsidRPr="007E1F41">
              <w:rPr>
                <w:rFonts w:ascii="Meiryo UI" w:eastAsia="Meiryo UI" w:hAnsi="Meiryo UI" w:hint="eastAsia"/>
                <w:sz w:val="20"/>
                <w:szCs w:val="20"/>
                <w:lang w:eastAsia="zh-TW"/>
              </w:rPr>
              <w:t>１</w:t>
            </w:r>
            <w:r w:rsidRPr="007E1F41">
              <w:rPr>
                <w:rFonts w:ascii="Meiryo UI" w:eastAsia="Meiryo UI" w:hAnsi="Meiryo UI" w:hint="eastAsia"/>
                <w:sz w:val="20"/>
                <w:szCs w:val="20"/>
                <w:lang w:eastAsia="zh-TW"/>
              </w:rPr>
              <w:t>／四半期 （約</w:t>
            </w:r>
            <w:r w:rsidR="00FF04A4" w:rsidRPr="007E1F41">
              <w:rPr>
                <w:rFonts w:ascii="Meiryo UI" w:eastAsia="Meiryo UI" w:hAnsi="Meiryo UI" w:hint="eastAsia"/>
                <w:sz w:val="20"/>
                <w:szCs w:val="20"/>
                <w:lang w:eastAsia="zh-TW"/>
              </w:rPr>
              <w:t>１</w:t>
            </w:r>
            <w:r w:rsidR="0019228A" w:rsidRPr="007E1F41">
              <w:rPr>
                <w:rFonts w:ascii="Meiryo UI" w:eastAsia="Meiryo UI" w:hAnsi="Meiryo UI" w:hint="eastAsia"/>
                <w:sz w:val="20"/>
                <w:szCs w:val="20"/>
                <w:lang w:eastAsia="zh-TW"/>
              </w:rPr>
              <w:t>０</w:t>
            </w:r>
            <w:r w:rsidR="00405E5F" w:rsidRPr="007E1F41">
              <w:rPr>
                <w:rFonts w:ascii="Meiryo UI" w:eastAsia="Meiryo UI" w:hAnsi="Meiryo UI" w:hint="eastAsia"/>
                <w:sz w:val="20"/>
                <w:szCs w:val="20"/>
                <w:lang w:eastAsia="zh-TW"/>
              </w:rPr>
              <w:t>５</w:t>
            </w:r>
            <w:r w:rsidR="0019228A" w:rsidRPr="007E1F41">
              <w:rPr>
                <w:rFonts w:ascii="Meiryo UI" w:eastAsia="Meiryo UI" w:hAnsi="Meiryo UI" w:hint="eastAsia"/>
                <w:sz w:val="20"/>
                <w:szCs w:val="20"/>
                <w:lang w:eastAsia="zh-TW"/>
              </w:rPr>
              <w:t>０</w:t>
            </w:r>
            <w:r w:rsidRPr="007E1F41">
              <w:rPr>
                <w:rFonts w:ascii="Meiryo UI" w:eastAsia="Meiryo UI" w:hAnsi="Meiryo UI" w:hint="eastAsia"/>
                <w:sz w:val="20"/>
                <w:szCs w:val="20"/>
                <w:lang w:eastAsia="zh-TW"/>
              </w:rPr>
              <w:t>日間）</w:t>
            </w:r>
          </w:p>
        </w:tc>
      </w:tr>
    </w:tbl>
    <w:p w14:paraId="54D01B4A" w14:textId="77777777" w:rsidR="00FC3ADE" w:rsidRPr="0019228A" w:rsidRDefault="00FC3ADE" w:rsidP="00D96513">
      <w:pPr>
        <w:snapToGrid w:val="0"/>
        <w:spacing w:line="216" w:lineRule="auto"/>
        <w:rPr>
          <w:rFonts w:ascii="Meiryo UI" w:eastAsia="Meiryo UI" w:hAnsi="Meiryo UI"/>
          <w:sz w:val="20"/>
          <w:szCs w:val="20"/>
          <w:lang w:eastAsia="zh-TW"/>
        </w:rPr>
      </w:pPr>
    </w:p>
    <w:p w14:paraId="6C7CF8DC" w14:textId="77777777" w:rsidR="00FC3ADE" w:rsidRPr="00217F33" w:rsidRDefault="00217F33" w:rsidP="00D96513">
      <w:pPr>
        <w:snapToGrid w:val="0"/>
        <w:spacing w:line="216" w:lineRule="auto"/>
        <w:rPr>
          <w:rFonts w:ascii="Meiryo UI" w:eastAsia="Meiryo UI" w:hAnsi="Meiryo UI"/>
          <w:b/>
          <w:sz w:val="20"/>
          <w:szCs w:val="20"/>
        </w:rPr>
      </w:pPr>
      <w:r>
        <w:rPr>
          <w:rFonts w:ascii="Meiryo UI" w:eastAsia="Meiryo UI" w:hAnsi="Meiryo UI" w:hint="eastAsia"/>
          <w:b/>
          <w:sz w:val="20"/>
          <w:szCs w:val="20"/>
        </w:rPr>
        <w:t>2</w:t>
      </w:r>
      <w:r w:rsidR="00FC3ADE" w:rsidRPr="00217F33">
        <w:rPr>
          <w:rFonts w:ascii="Meiryo UI" w:eastAsia="Meiryo UI" w:hAnsi="Meiryo UI" w:hint="eastAsia"/>
          <w:b/>
          <w:sz w:val="20"/>
          <w:szCs w:val="20"/>
        </w:rPr>
        <w:t>．</w:t>
      </w:r>
      <w:r w:rsidR="00DE52AC" w:rsidRPr="00217F33">
        <w:rPr>
          <w:rFonts w:ascii="Meiryo UI" w:eastAsia="Meiryo UI" w:hAnsi="Meiryo UI" w:hint="eastAsia"/>
          <w:b/>
          <w:sz w:val="20"/>
          <w:szCs w:val="20"/>
        </w:rPr>
        <w:t>後発工事の随意契約条件</w:t>
      </w:r>
    </w:p>
    <w:p w14:paraId="11640E0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tbl>
      <w:tblPr>
        <w:tblStyle w:val="a3"/>
        <w:tblW w:w="9776" w:type="dxa"/>
        <w:tblLook w:val="04A0" w:firstRow="1" w:lastRow="0" w:firstColumn="1" w:lastColumn="0" w:noHBand="0" w:noVBand="1"/>
      </w:tblPr>
      <w:tblGrid>
        <w:gridCol w:w="2405"/>
        <w:gridCol w:w="7371"/>
      </w:tblGrid>
      <w:tr w:rsidR="00DE52AC" w:rsidRPr="00217F33" w14:paraId="73371AC4" w14:textId="77777777" w:rsidTr="00384A29">
        <w:tc>
          <w:tcPr>
            <w:tcW w:w="2405" w:type="dxa"/>
          </w:tcPr>
          <w:p w14:paraId="467AF0F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総合評価落札方式</w:t>
            </w:r>
          </w:p>
          <w:p w14:paraId="757C20E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における技術提案</w:t>
            </w:r>
          </w:p>
        </w:tc>
        <w:tc>
          <w:tcPr>
            <w:tcW w:w="7371" w:type="dxa"/>
          </w:tcPr>
          <w:p w14:paraId="36083070" w14:textId="664B2E3E"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本工事に係る技術提案の考え方は、後発工事に係る技術提案に踏襲されることを条件とする。なお、後発工事の発注段階で、再度、後発工事の技術提案の提出を求める。</w:t>
            </w:r>
          </w:p>
        </w:tc>
      </w:tr>
      <w:tr w:rsidR="00DE52AC" w:rsidRPr="00217F33" w14:paraId="20C9868B" w14:textId="77777777" w:rsidTr="00384A29">
        <w:tc>
          <w:tcPr>
            <w:tcW w:w="2405" w:type="dxa"/>
          </w:tcPr>
          <w:p w14:paraId="240AC87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配置予定技術者</w:t>
            </w:r>
          </w:p>
        </w:tc>
        <w:tc>
          <w:tcPr>
            <w:tcW w:w="7371" w:type="dxa"/>
          </w:tcPr>
          <w:p w14:paraId="17E274F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後発工事の配置予定技術者は、下記のいずれかの者とする。</w:t>
            </w:r>
          </w:p>
          <w:p w14:paraId="65ACFA6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w:t>
            </w:r>
          </w:p>
          <w:p w14:paraId="380E4EF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・当初発注工事で配置した技術者（現場代理人又は監理技術者）と同等以上の者</w:t>
            </w:r>
          </w:p>
          <w:p w14:paraId="4CBA43D8" w14:textId="17F8354C"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・当初発注工事若しく後発工事に従事した担当技術者</w:t>
            </w:r>
          </w:p>
        </w:tc>
      </w:tr>
      <w:tr w:rsidR="00DE52AC" w:rsidRPr="00217F33" w14:paraId="424F186B" w14:textId="77777777" w:rsidTr="00384A29">
        <w:tc>
          <w:tcPr>
            <w:tcW w:w="2405" w:type="dxa"/>
          </w:tcPr>
          <w:p w14:paraId="6E3B4A80"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落札率</w:t>
            </w:r>
          </w:p>
        </w:tc>
        <w:tc>
          <w:tcPr>
            <w:tcW w:w="7371" w:type="dxa"/>
          </w:tcPr>
          <w:p w14:paraId="73A5FFB1" w14:textId="4FE59556"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後発工事には、本工事の落札率を考慮する。</w:t>
            </w:r>
          </w:p>
        </w:tc>
      </w:tr>
      <w:tr w:rsidR="00DE52AC" w:rsidRPr="00217F33" w14:paraId="39C7CEEE" w14:textId="77777777" w:rsidTr="00384A29">
        <w:tc>
          <w:tcPr>
            <w:tcW w:w="2405" w:type="dxa"/>
          </w:tcPr>
          <w:p w14:paraId="6F68A918"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諸経費調整</w:t>
            </w:r>
          </w:p>
        </w:tc>
        <w:tc>
          <w:tcPr>
            <w:tcW w:w="7371" w:type="dxa"/>
          </w:tcPr>
          <w:p w14:paraId="654C7E9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後発工事の諸経費については、最新の土木工事積算基準における「随意契約工事諸経費の取扱い」に基づく諸経費調整を行う。</w:t>
            </w:r>
          </w:p>
          <w:p w14:paraId="1D2BF0F6" w14:textId="42A07DBB"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（本工事と後発工事の合算額に相当する諸経費を算出し、継続契約方式により調達する工事のうち契約済工事の諸経費相当額を差引く</w:t>
            </w:r>
          </w:p>
        </w:tc>
      </w:tr>
      <w:tr w:rsidR="00DE52AC" w:rsidRPr="00217F33" w14:paraId="501DD069" w14:textId="77777777" w:rsidTr="00917337">
        <w:trPr>
          <w:trHeight w:val="1544"/>
        </w:trPr>
        <w:tc>
          <w:tcPr>
            <w:tcW w:w="2405" w:type="dxa"/>
          </w:tcPr>
          <w:p w14:paraId="415A57D4"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随意契約の実施判断</w:t>
            </w:r>
          </w:p>
        </w:tc>
        <w:tc>
          <w:tcPr>
            <w:tcW w:w="7371" w:type="dxa"/>
          </w:tcPr>
          <w:p w14:paraId="139233E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03CFA5F1" w14:textId="6ADDD4A5"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22D13F63" w14:textId="270F14CB" w:rsidR="00DE52AC" w:rsidRPr="00217F33" w:rsidRDefault="00D96513"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以　上</w:t>
      </w:r>
    </w:p>
    <w:sectPr w:rsidR="00DE52AC" w:rsidRPr="00217F33"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3FAB" w14:textId="77777777" w:rsidR="000F3A18" w:rsidRDefault="000F3A18" w:rsidP="00217F33">
      <w:r>
        <w:separator/>
      </w:r>
    </w:p>
  </w:endnote>
  <w:endnote w:type="continuationSeparator" w:id="0">
    <w:p w14:paraId="63372996" w14:textId="77777777" w:rsidR="000F3A18" w:rsidRDefault="000F3A18" w:rsidP="00217F33">
      <w:r>
        <w:continuationSeparator/>
      </w:r>
    </w:p>
  </w:endnote>
  <w:endnote w:type="continuationNotice" w:id="1">
    <w:p w14:paraId="26B69ADB" w14:textId="77777777" w:rsidR="00886F74" w:rsidRDefault="00886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7F7F2" w14:textId="77777777" w:rsidR="000F3A18" w:rsidRDefault="000F3A18" w:rsidP="00217F33">
      <w:r>
        <w:separator/>
      </w:r>
    </w:p>
  </w:footnote>
  <w:footnote w:type="continuationSeparator" w:id="0">
    <w:p w14:paraId="2DD94445" w14:textId="77777777" w:rsidR="000F3A18" w:rsidRDefault="000F3A18" w:rsidP="00217F33">
      <w:r>
        <w:continuationSeparator/>
      </w:r>
    </w:p>
  </w:footnote>
  <w:footnote w:type="continuationNotice" w:id="1">
    <w:p w14:paraId="65F2996F" w14:textId="77777777" w:rsidR="00886F74" w:rsidRDefault="00886F7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64152"/>
    <w:rsid w:val="000F3A18"/>
    <w:rsid w:val="00113775"/>
    <w:rsid w:val="00124688"/>
    <w:rsid w:val="0019228A"/>
    <w:rsid w:val="00217F33"/>
    <w:rsid w:val="00222E32"/>
    <w:rsid w:val="003804C6"/>
    <w:rsid w:val="00384A29"/>
    <w:rsid w:val="00405E5F"/>
    <w:rsid w:val="004B0BCC"/>
    <w:rsid w:val="005E4CDD"/>
    <w:rsid w:val="007875FE"/>
    <w:rsid w:val="007E1F41"/>
    <w:rsid w:val="00836F31"/>
    <w:rsid w:val="0084081B"/>
    <w:rsid w:val="00850776"/>
    <w:rsid w:val="00886F74"/>
    <w:rsid w:val="008926BA"/>
    <w:rsid w:val="00917337"/>
    <w:rsid w:val="00927D81"/>
    <w:rsid w:val="00A4110D"/>
    <w:rsid w:val="00AB18D1"/>
    <w:rsid w:val="00AD78FD"/>
    <w:rsid w:val="00B86535"/>
    <w:rsid w:val="00C90FF3"/>
    <w:rsid w:val="00D96513"/>
    <w:rsid w:val="00DE52AC"/>
    <w:rsid w:val="00E47027"/>
    <w:rsid w:val="00FB36E1"/>
    <w:rsid w:val="00FC3ADE"/>
    <w:rsid w:val="00FF04A4"/>
    <w:rsid w:val="1EAED06C"/>
    <w:rsid w:val="27E4CF94"/>
    <w:rsid w:val="6737EF36"/>
    <w:rsid w:val="7932D235"/>
    <w:rsid w:val="7D496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6ADDBBDB-96F9-49A1-A2FC-BF749CA0C33F}">
  <ds:schemaRefs>
    <ds:schemaRef ds:uri="http://schemas.microsoft.com/sharepoint/v3/contenttype/forms"/>
  </ds:schemaRefs>
</ds:datastoreItem>
</file>

<file path=customXml/itemProps2.xml><?xml version="1.0" encoding="utf-8"?>
<ds:datastoreItem xmlns:ds="http://schemas.openxmlformats.org/officeDocument/2006/customXml" ds:itemID="{66A07692-5461-419A-B17E-960503F63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1137FD-6894-4F01-BFD7-ADC0E9602656}">
  <ds:schemaRefs>
    <ds:schemaRef ds:uri="http://purl.org/dc/terms/"/>
    <ds:schemaRef ds:uri="http://schemas.microsoft.com/office/2006/documentManagement/types"/>
    <ds:schemaRef ds:uri="ea955e64-5792-4b05-8757-4e00a4f2598f"/>
    <ds:schemaRef ds:uri="http://www.w3.org/XML/1998/namespace"/>
    <ds:schemaRef ds:uri="http://purl.org/dc/dcmitype/"/>
    <ds:schemaRef ds:uri="66aeafee-562d-4d37-961c-f9845997fc22"/>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2024-11-29T05:06:00Z</dcterms:created>
  <dcterms:modified xsi:type="dcterms:W3CDTF">2025-01-28T03:51:00Z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